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B9B" w:rsidRPr="002E0A4E" w:rsidRDefault="00045B9B" w:rsidP="00045B9B">
      <w:pPr>
        <w:pStyle w:val="Cuerpo"/>
        <w:spacing w:after="0" w:line="240" w:lineRule="auto"/>
        <w:jc w:val="both"/>
        <w:rPr>
          <w:rStyle w:val="Ninguno"/>
          <w:rFonts w:ascii="Arial" w:hAnsi="Arial" w:cs="Arial"/>
          <w:b/>
          <w:bCs/>
          <w:sz w:val="24"/>
          <w:szCs w:val="24"/>
          <w:lang w:val="es-ES_tradnl"/>
        </w:rPr>
      </w:pPr>
      <w:r w:rsidRPr="002E0A4E">
        <w:rPr>
          <w:rFonts w:ascii="Arial" w:hAnsi="Arial" w:cs="Arial"/>
          <w:b/>
          <w:sz w:val="24"/>
          <w:szCs w:val="24"/>
        </w:rPr>
        <w:t xml:space="preserve">EL CONGRESO DEL ESTADO LIBRE Y SOBERANO DE YUCATÁN, CONFORME CON LO DISPUESTO EN LOS ARTÍCULOS 29 Y 30 FRACCIÓN V DE LA CONSTITUCIÓN POLÍTICA, 18 Y 34 FRACCIÓN XIII DE LA LEY DE GOBIERNO DEL PODER LEGISLATIVO, 117 Y 118 DEL REGLAMENTO DE LA LEY DE GOBIERNO DEL PODER LEGISLATIVO, TODOS DEL ESTADO DE YUCATÁN, EMITE </w:t>
      </w:r>
      <w:r>
        <w:rPr>
          <w:rFonts w:ascii="Arial" w:hAnsi="Arial" w:cs="Arial"/>
          <w:b/>
          <w:sz w:val="24"/>
          <w:szCs w:val="24"/>
        </w:rPr>
        <w:t>EL</w:t>
      </w:r>
      <w:r w:rsidRPr="002E0A4E">
        <w:rPr>
          <w:rFonts w:ascii="Arial" w:hAnsi="Arial" w:cs="Arial"/>
          <w:b/>
          <w:sz w:val="24"/>
          <w:szCs w:val="24"/>
        </w:rPr>
        <w:t xml:space="preserve"> SIGUIENTE,</w:t>
      </w:r>
    </w:p>
    <w:p w:rsidR="00E668AF" w:rsidRPr="00B505A0" w:rsidRDefault="00045B9B" w:rsidP="00593803">
      <w:pPr>
        <w:pStyle w:val="elsevierstylepara"/>
        <w:spacing w:line="360" w:lineRule="auto"/>
        <w:jc w:val="center"/>
        <w:rPr>
          <w:rFonts w:ascii="Arial" w:hAnsi="Arial" w:cs="Arial"/>
          <w:b/>
        </w:rPr>
      </w:pPr>
      <w:r>
        <w:rPr>
          <w:rFonts w:ascii="Arial" w:hAnsi="Arial" w:cs="Arial"/>
          <w:b/>
        </w:rPr>
        <w:t>DECRETO</w:t>
      </w:r>
    </w:p>
    <w:p w:rsidR="00E668AF" w:rsidRPr="00B505A0" w:rsidRDefault="00E668AF" w:rsidP="00E668AF">
      <w:pPr>
        <w:pStyle w:val="elsevierstylepara"/>
        <w:spacing w:line="276" w:lineRule="auto"/>
        <w:ind w:firstLine="708"/>
        <w:jc w:val="both"/>
        <w:rPr>
          <w:rFonts w:ascii="Arial" w:hAnsi="Arial" w:cs="Arial"/>
        </w:rPr>
      </w:pPr>
      <w:r w:rsidRPr="00B505A0">
        <w:rPr>
          <w:rFonts w:ascii="Arial" w:hAnsi="Arial" w:cs="Arial"/>
          <w:b/>
        </w:rPr>
        <w:t>Por el que se modifica la Ley para la Protección de los Derechos de los Adultos Mayores del Estado de Yucatán y la Ley para Prevenir y Eliminar la Discriminación en el Estado de Yucatán</w:t>
      </w:r>
      <w:r w:rsidRPr="00B505A0">
        <w:rPr>
          <w:rFonts w:ascii="Arial" w:hAnsi="Arial" w:cs="Arial"/>
        </w:rPr>
        <w:t>.</w:t>
      </w:r>
    </w:p>
    <w:p w:rsidR="00E668AF" w:rsidRPr="00B505A0" w:rsidRDefault="00E668AF" w:rsidP="00E668AF">
      <w:pPr>
        <w:pStyle w:val="elsevierstylepara"/>
        <w:spacing w:line="276" w:lineRule="auto"/>
        <w:ind w:firstLine="708"/>
        <w:jc w:val="both"/>
        <w:rPr>
          <w:rFonts w:ascii="Arial" w:hAnsi="Arial" w:cs="Arial"/>
        </w:rPr>
      </w:pPr>
      <w:r w:rsidRPr="00B505A0">
        <w:rPr>
          <w:rFonts w:ascii="Arial" w:hAnsi="Arial" w:cs="Arial"/>
          <w:b/>
        </w:rPr>
        <w:t>ARTÍCULO PRIMERO.</w:t>
      </w:r>
      <w:r w:rsidRPr="00B505A0">
        <w:rPr>
          <w:rFonts w:ascii="Arial" w:hAnsi="Arial" w:cs="Arial"/>
        </w:rPr>
        <w:t>- Se adiciona la fracción XIII al artículo 5 y se adiciona al artículo 17 la fracción XIII, recorriéndose la actual para quedar como fracción XIV de la Ley para la Protección de los Derechos de los Adultos Mayores del Estado de Yucatán, para quedar como sigue:</w:t>
      </w:r>
    </w:p>
    <w:p w:rsidR="00E668AF" w:rsidRPr="00B505A0" w:rsidRDefault="00E668AF" w:rsidP="00E668AF">
      <w:pPr>
        <w:pStyle w:val="elsevierstylepara"/>
        <w:spacing w:line="276" w:lineRule="auto"/>
        <w:ind w:firstLine="708"/>
        <w:jc w:val="both"/>
        <w:rPr>
          <w:rFonts w:ascii="Arial" w:hAnsi="Arial" w:cs="Arial"/>
          <w:b/>
        </w:rPr>
      </w:pPr>
      <w:r w:rsidRPr="00B505A0">
        <w:rPr>
          <w:rFonts w:ascii="Arial" w:hAnsi="Arial" w:cs="Arial"/>
          <w:b/>
        </w:rPr>
        <w:t>Artículo 5. …</w:t>
      </w:r>
    </w:p>
    <w:p w:rsidR="00E668AF" w:rsidRPr="00B505A0" w:rsidRDefault="00E668AF" w:rsidP="00E668AF">
      <w:pPr>
        <w:pStyle w:val="elsevierstylepara"/>
        <w:spacing w:line="276" w:lineRule="auto"/>
        <w:ind w:firstLine="708"/>
        <w:jc w:val="both"/>
        <w:rPr>
          <w:rFonts w:ascii="Arial" w:hAnsi="Arial" w:cs="Arial"/>
        </w:rPr>
      </w:pPr>
      <w:r w:rsidRPr="00B505A0">
        <w:rPr>
          <w:rFonts w:ascii="Arial" w:hAnsi="Arial" w:cs="Arial"/>
        </w:rPr>
        <w:t>…</w:t>
      </w:r>
    </w:p>
    <w:p w:rsidR="00E668AF" w:rsidRPr="00B505A0" w:rsidRDefault="00E668AF" w:rsidP="00E668AF">
      <w:pPr>
        <w:pStyle w:val="elsevierstylepara"/>
        <w:spacing w:line="276" w:lineRule="auto"/>
        <w:ind w:firstLine="708"/>
        <w:jc w:val="both"/>
        <w:rPr>
          <w:rFonts w:ascii="Arial" w:hAnsi="Arial" w:cs="Arial"/>
        </w:rPr>
      </w:pPr>
      <w:r w:rsidRPr="00B505A0">
        <w:rPr>
          <w:rFonts w:ascii="Arial" w:hAnsi="Arial" w:cs="Arial"/>
        </w:rPr>
        <w:t>I. a XII. …</w:t>
      </w:r>
    </w:p>
    <w:p w:rsidR="00E668AF" w:rsidRPr="00B505A0" w:rsidRDefault="00E668AF" w:rsidP="00E668AF">
      <w:pPr>
        <w:pStyle w:val="elsevierstylepara"/>
        <w:spacing w:line="276" w:lineRule="auto"/>
        <w:ind w:firstLine="708"/>
        <w:jc w:val="both"/>
        <w:rPr>
          <w:rFonts w:ascii="Arial" w:hAnsi="Arial" w:cs="Arial"/>
        </w:rPr>
      </w:pPr>
      <w:r w:rsidRPr="00B505A0">
        <w:rPr>
          <w:rFonts w:ascii="Arial" w:hAnsi="Arial" w:cs="Arial"/>
        </w:rPr>
        <w:t>XIII. El acceso, uso y disfrute de nuevas tecnologías.</w:t>
      </w:r>
    </w:p>
    <w:p w:rsidR="00E668AF" w:rsidRPr="00B505A0" w:rsidRDefault="00E668AF" w:rsidP="00E668AF">
      <w:pPr>
        <w:pStyle w:val="elsevierstylepara"/>
        <w:spacing w:line="276" w:lineRule="auto"/>
        <w:ind w:firstLine="708"/>
        <w:jc w:val="both"/>
        <w:rPr>
          <w:rFonts w:ascii="Arial" w:hAnsi="Arial" w:cs="Arial"/>
          <w:b/>
        </w:rPr>
      </w:pPr>
      <w:r w:rsidRPr="00B505A0">
        <w:rPr>
          <w:rFonts w:ascii="Arial" w:hAnsi="Arial" w:cs="Arial"/>
          <w:b/>
        </w:rPr>
        <w:t>Artículo 17. …</w:t>
      </w:r>
    </w:p>
    <w:p w:rsidR="00E668AF" w:rsidRPr="00B505A0" w:rsidRDefault="00E668AF" w:rsidP="00E668AF">
      <w:pPr>
        <w:pStyle w:val="elsevierstylepara"/>
        <w:spacing w:line="276" w:lineRule="auto"/>
        <w:ind w:firstLine="708"/>
        <w:jc w:val="both"/>
        <w:rPr>
          <w:rFonts w:ascii="Arial" w:hAnsi="Arial" w:cs="Arial"/>
        </w:rPr>
      </w:pPr>
      <w:r w:rsidRPr="00B505A0">
        <w:rPr>
          <w:rFonts w:ascii="Arial" w:hAnsi="Arial" w:cs="Arial"/>
        </w:rPr>
        <w:t>…</w:t>
      </w:r>
    </w:p>
    <w:p w:rsidR="00E668AF" w:rsidRPr="00B505A0" w:rsidRDefault="00E668AF" w:rsidP="00E668AF">
      <w:pPr>
        <w:pStyle w:val="elsevierstylepara"/>
        <w:spacing w:line="276" w:lineRule="auto"/>
        <w:ind w:firstLine="708"/>
        <w:jc w:val="both"/>
        <w:rPr>
          <w:rFonts w:ascii="Arial" w:hAnsi="Arial" w:cs="Arial"/>
        </w:rPr>
      </w:pPr>
      <w:r w:rsidRPr="00B505A0">
        <w:rPr>
          <w:rFonts w:ascii="Arial" w:hAnsi="Arial" w:cs="Arial"/>
        </w:rPr>
        <w:t>I. a XII. …</w:t>
      </w:r>
    </w:p>
    <w:p w:rsidR="00E668AF" w:rsidRPr="00B505A0" w:rsidRDefault="00E668AF" w:rsidP="00E668AF">
      <w:pPr>
        <w:pStyle w:val="elsevierstylepara"/>
        <w:spacing w:line="276" w:lineRule="auto"/>
        <w:ind w:firstLine="708"/>
        <w:jc w:val="both"/>
        <w:rPr>
          <w:rFonts w:ascii="Arial" w:hAnsi="Arial" w:cs="Arial"/>
        </w:rPr>
      </w:pPr>
      <w:r w:rsidRPr="00B505A0">
        <w:rPr>
          <w:rFonts w:ascii="Arial" w:hAnsi="Arial" w:cs="Arial"/>
        </w:rPr>
        <w:t>XIII. Proponer la implementación de políticas públicas orientadas a que los adultos mayores hagan uso de nuevas tecnologías.</w:t>
      </w:r>
    </w:p>
    <w:p w:rsidR="00E668AF" w:rsidRPr="00B505A0" w:rsidRDefault="00E668AF" w:rsidP="00E668AF">
      <w:pPr>
        <w:pStyle w:val="elsevierstylepara"/>
        <w:spacing w:line="276" w:lineRule="auto"/>
        <w:ind w:firstLine="708"/>
        <w:jc w:val="both"/>
        <w:rPr>
          <w:rFonts w:ascii="Arial" w:hAnsi="Arial" w:cs="Arial"/>
        </w:rPr>
      </w:pPr>
      <w:r w:rsidRPr="00B505A0">
        <w:rPr>
          <w:rFonts w:ascii="Arial" w:hAnsi="Arial" w:cs="Arial"/>
        </w:rPr>
        <w:t>XIV.- Las demás que le confieran esta ley, su reglamento interno y otras disposiciones legales y normativas aplicables.</w:t>
      </w:r>
    </w:p>
    <w:p w:rsidR="00E668AF" w:rsidRPr="00B505A0" w:rsidRDefault="00E668AF" w:rsidP="00E668AF">
      <w:pPr>
        <w:pStyle w:val="elsevierstylepara"/>
        <w:spacing w:line="276" w:lineRule="auto"/>
        <w:ind w:firstLine="708"/>
        <w:jc w:val="both"/>
        <w:rPr>
          <w:rFonts w:ascii="Arial" w:hAnsi="Arial" w:cs="Arial"/>
        </w:rPr>
      </w:pPr>
      <w:r w:rsidRPr="00B505A0">
        <w:rPr>
          <w:rFonts w:ascii="Arial" w:hAnsi="Arial" w:cs="Arial"/>
          <w:b/>
        </w:rPr>
        <w:lastRenderedPageBreak/>
        <w:t>ARTÍCULO SEGUNDO.-</w:t>
      </w:r>
      <w:r w:rsidRPr="00B505A0">
        <w:rPr>
          <w:rFonts w:ascii="Arial" w:hAnsi="Arial" w:cs="Arial"/>
        </w:rPr>
        <w:t xml:space="preserve"> Se adiciona la fracción XIII y se modifica las fracciones XI y XII todas del artículo 14 de la Ley para Prevenir y Eliminar la Discriminación en el Estado de Yucatán, para quedar como sigue:</w:t>
      </w:r>
    </w:p>
    <w:p w:rsidR="00E668AF" w:rsidRPr="00B505A0" w:rsidRDefault="00E668AF" w:rsidP="00E668AF">
      <w:pPr>
        <w:pStyle w:val="elsevierstylepara"/>
        <w:spacing w:line="276" w:lineRule="auto"/>
        <w:ind w:firstLine="708"/>
        <w:jc w:val="both"/>
        <w:rPr>
          <w:rFonts w:ascii="Arial" w:hAnsi="Arial" w:cs="Arial"/>
          <w:b/>
        </w:rPr>
      </w:pPr>
      <w:r w:rsidRPr="00B505A0">
        <w:rPr>
          <w:rFonts w:ascii="Arial" w:hAnsi="Arial" w:cs="Arial"/>
          <w:b/>
        </w:rPr>
        <w:t>Artículo 14.</w:t>
      </w:r>
      <w:proofErr w:type="gramStart"/>
      <w:r w:rsidRPr="00B505A0">
        <w:rPr>
          <w:rFonts w:ascii="Arial" w:hAnsi="Arial" w:cs="Arial"/>
          <w:b/>
        </w:rPr>
        <w:t>- …</w:t>
      </w:r>
      <w:proofErr w:type="gramEnd"/>
    </w:p>
    <w:p w:rsidR="00E668AF" w:rsidRPr="00B505A0" w:rsidRDefault="00E668AF" w:rsidP="00E668AF">
      <w:pPr>
        <w:pStyle w:val="elsevierstylepara"/>
        <w:spacing w:line="276" w:lineRule="auto"/>
        <w:ind w:firstLine="708"/>
        <w:jc w:val="both"/>
        <w:rPr>
          <w:rFonts w:ascii="Arial" w:hAnsi="Arial" w:cs="Arial"/>
        </w:rPr>
      </w:pPr>
      <w:r w:rsidRPr="00B505A0">
        <w:rPr>
          <w:rFonts w:ascii="Arial" w:hAnsi="Arial" w:cs="Arial"/>
        </w:rPr>
        <w:t>I.- a la X.</w:t>
      </w:r>
      <w:proofErr w:type="gramStart"/>
      <w:r w:rsidRPr="00B505A0">
        <w:rPr>
          <w:rFonts w:ascii="Arial" w:hAnsi="Arial" w:cs="Arial"/>
        </w:rPr>
        <w:t>- …</w:t>
      </w:r>
      <w:proofErr w:type="gramEnd"/>
    </w:p>
    <w:p w:rsidR="00E668AF" w:rsidRPr="00B505A0" w:rsidRDefault="00E668AF" w:rsidP="00E668AF">
      <w:pPr>
        <w:pStyle w:val="elsevierstylepara"/>
        <w:spacing w:line="276" w:lineRule="auto"/>
        <w:ind w:firstLine="708"/>
        <w:jc w:val="both"/>
        <w:rPr>
          <w:rFonts w:ascii="Arial" w:hAnsi="Arial" w:cs="Arial"/>
        </w:rPr>
      </w:pPr>
      <w:r w:rsidRPr="00B505A0">
        <w:rPr>
          <w:rFonts w:ascii="Arial" w:hAnsi="Arial" w:cs="Arial"/>
        </w:rPr>
        <w:t xml:space="preserve">XI.- Crear políticas públicas y promover campañas que fomenten el empleo para las personas adultas mayores; </w:t>
      </w:r>
    </w:p>
    <w:p w:rsidR="00E668AF" w:rsidRPr="00B505A0" w:rsidRDefault="00E668AF" w:rsidP="00E668AF">
      <w:pPr>
        <w:pStyle w:val="elsevierstylepara"/>
        <w:spacing w:line="276" w:lineRule="auto"/>
        <w:ind w:firstLine="708"/>
        <w:jc w:val="both"/>
        <w:rPr>
          <w:rFonts w:ascii="Arial" w:hAnsi="Arial" w:cs="Arial"/>
        </w:rPr>
      </w:pPr>
      <w:r w:rsidRPr="00B505A0">
        <w:rPr>
          <w:rFonts w:ascii="Arial" w:hAnsi="Arial" w:cs="Arial"/>
        </w:rPr>
        <w:t>XII.- Promover campañas en las que se sensibilice a la sociedad para no abusar, maltratar o dejar en el abandono a las personas adultas mayores, y</w:t>
      </w:r>
    </w:p>
    <w:p w:rsidR="00E668AF" w:rsidRPr="00B505A0" w:rsidRDefault="00E668AF" w:rsidP="00E668AF">
      <w:pPr>
        <w:pStyle w:val="elsevierstylepara"/>
        <w:spacing w:line="276" w:lineRule="auto"/>
        <w:ind w:firstLine="708"/>
        <w:jc w:val="both"/>
        <w:rPr>
          <w:rFonts w:ascii="Arial" w:hAnsi="Arial" w:cs="Arial"/>
        </w:rPr>
      </w:pPr>
      <w:r w:rsidRPr="00B505A0">
        <w:rPr>
          <w:rFonts w:ascii="Arial" w:hAnsi="Arial" w:cs="Arial"/>
        </w:rPr>
        <w:t>XIII.- Políticas públicas orientadas a que los adultos mayores hagan uso de nuevas tecnologías.</w:t>
      </w:r>
    </w:p>
    <w:p w:rsidR="00E668AF" w:rsidRPr="00B505A0" w:rsidRDefault="00E668AF" w:rsidP="00E668AF">
      <w:pPr>
        <w:pStyle w:val="elsevierstylepara"/>
        <w:spacing w:before="0" w:beforeAutospacing="0" w:after="0" w:afterAutospacing="0" w:line="276" w:lineRule="auto"/>
        <w:ind w:firstLine="708"/>
        <w:jc w:val="center"/>
        <w:rPr>
          <w:rFonts w:ascii="Arial" w:hAnsi="Arial" w:cs="Arial"/>
          <w:b/>
        </w:rPr>
      </w:pPr>
      <w:r w:rsidRPr="00B505A0">
        <w:rPr>
          <w:rFonts w:ascii="Arial" w:hAnsi="Arial" w:cs="Arial"/>
          <w:b/>
        </w:rPr>
        <w:t>Transitorio</w:t>
      </w:r>
    </w:p>
    <w:p w:rsidR="00E668AF" w:rsidRPr="00B505A0" w:rsidRDefault="00E668AF" w:rsidP="00E668AF">
      <w:pPr>
        <w:pStyle w:val="elsevierstylepara"/>
        <w:spacing w:before="0" w:beforeAutospacing="0" w:after="0" w:afterAutospacing="0" w:line="276" w:lineRule="auto"/>
        <w:ind w:firstLine="708"/>
        <w:jc w:val="center"/>
        <w:rPr>
          <w:rFonts w:ascii="Arial" w:hAnsi="Arial" w:cs="Arial"/>
          <w:b/>
        </w:rPr>
      </w:pPr>
    </w:p>
    <w:p w:rsidR="00E668AF" w:rsidRPr="00B505A0" w:rsidRDefault="00E668AF" w:rsidP="00E668AF">
      <w:pPr>
        <w:pStyle w:val="elsevierstylepara"/>
        <w:spacing w:before="0" w:beforeAutospacing="0" w:after="0" w:afterAutospacing="0" w:line="276" w:lineRule="auto"/>
        <w:jc w:val="both"/>
        <w:rPr>
          <w:rFonts w:ascii="Arial" w:hAnsi="Arial" w:cs="Arial"/>
        </w:rPr>
      </w:pPr>
      <w:r w:rsidRPr="00B505A0">
        <w:rPr>
          <w:rFonts w:ascii="Arial" w:hAnsi="Arial" w:cs="Arial"/>
          <w:b/>
        </w:rPr>
        <w:t>Artículo único.</w:t>
      </w:r>
      <w:r w:rsidRPr="00B505A0">
        <w:rPr>
          <w:rFonts w:ascii="Arial" w:hAnsi="Arial" w:cs="Arial"/>
        </w:rPr>
        <w:t xml:space="preserve"> Entrada en vigor</w:t>
      </w:r>
    </w:p>
    <w:p w:rsidR="00E668AF" w:rsidRPr="00B505A0" w:rsidRDefault="00E668AF" w:rsidP="00E668AF">
      <w:pPr>
        <w:pStyle w:val="Sinespaciado"/>
        <w:rPr>
          <w:rFonts w:ascii="Arial" w:hAnsi="Arial" w:cs="Arial"/>
          <w:sz w:val="24"/>
          <w:szCs w:val="24"/>
        </w:rPr>
      </w:pPr>
      <w:r w:rsidRPr="00B505A0">
        <w:rPr>
          <w:rFonts w:ascii="Arial" w:hAnsi="Arial" w:cs="Arial"/>
          <w:sz w:val="24"/>
          <w:szCs w:val="24"/>
        </w:rPr>
        <w:t>El presente decreto entrará en vigor a partir del día siguiente al de su publicación en el Diario Oficial del Gobierno del Estado de Yucatán.</w:t>
      </w:r>
    </w:p>
    <w:p w:rsidR="00E668AF" w:rsidRPr="00B505A0" w:rsidRDefault="00E668AF" w:rsidP="00E668AF">
      <w:pPr>
        <w:pStyle w:val="Sinespaciado"/>
        <w:rPr>
          <w:rFonts w:ascii="Arial" w:hAnsi="Arial" w:cs="Arial"/>
          <w:sz w:val="24"/>
          <w:szCs w:val="24"/>
        </w:rPr>
      </w:pPr>
    </w:p>
    <w:p w:rsidR="00CA367E" w:rsidRPr="00CA367E" w:rsidRDefault="00CA367E" w:rsidP="00CA367E">
      <w:pPr>
        <w:shd w:val="clear" w:color="auto" w:fill="FFFFFF"/>
        <w:spacing w:after="0" w:line="240" w:lineRule="auto"/>
        <w:ind w:firstLine="708"/>
        <w:jc w:val="both"/>
        <w:rPr>
          <w:rFonts w:ascii="Arial" w:eastAsia="Arial" w:hAnsi="Arial" w:cs="Arial"/>
          <w:b/>
          <w:bCs/>
          <w:color w:val="000000"/>
          <w:lang w:eastAsia="es-MX"/>
        </w:rPr>
      </w:pPr>
      <w:r w:rsidRPr="00CA367E">
        <w:rPr>
          <w:rFonts w:ascii="Arial" w:eastAsia="Arial" w:hAnsi="Arial" w:cs="Arial"/>
          <w:b/>
          <w:bCs/>
          <w:color w:val="000000"/>
          <w:lang w:eastAsia="es-MX"/>
        </w:rPr>
        <w:t>DADO EN LA SEDE DEL RECINTO DEL PODER LEGISLATIVO EN LA CIUDAD DE MÉRIDA, YUCATÁN, ESTADOS UNIDOS MEXICANOS A LOS VEINTISEIS DÍAS DEL MES DE NOVIEMBRE DEL AÑO DOS MIL VEINTE.</w:t>
      </w:r>
    </w:p>
    <w:p w:rsidR="00CA367E" w:rsidRPr="00CA367E" w:rsidRDefault="00CA367E" w:rsidP="00CA367E">
      <w:pPr>
        <w:spacing w:after="0" w:line="240" w:lineRule="auto"/>
        <w:jc w:val="both"/>
        <w:rPr>
          <w:rFonts w:ascii="Arial" w:eastAsia="Times New Roman" w:hAnsi="Arial" w:cs="Arial"/>
          <w:b/>
          <w:caps/>
          <w:lang w:val="es-ES" w:eastAsia="es-ES"/>
        </w:rPr>
      </w:pPr>
    </w:p>
    <w:p w:rsidR="00CA367E" w:rsidRPr="00CA367E" w:rsidRDefault="00CA367E" w:rsidP="00CA367E">
      <w:pPr>
        <w:spacing w:after="0" w:line="240" w:lineRule="auto"/>
        <w:jc w:val="center"/>
        <w:rPr>
          <w:rFonts w:ascii="Arial" w:eastAsia="Times New Roman" w:hAnsi="Arial" w:cs="Arial"/>
          <w:b/>
          <w:caps/>
          <w:lang w:val="es-ES" w:eastAsia="es-ES"/>
        </w:rPr>
      </w:pPr>
    </w:p>
    <w:p w:rsidR="00CA367E" w:rsidRPr="00CA367E" w:rsidRDefault="00CA367E" w:rsidP="00CA367E">
      <w:pPr>
        <w:spacing w:after="0" w:line="240" w:lineRule="auto"/>
        <w:ind w:left="708" w:right="-6" w:hanging="11"/>
        <w:jc w:val="center"/>
        <w:rPr>
          <w:rFonts w:ascii="Arial" w:eastAsia="Arial" w:hAnsi="Arial" w:cs="Arial"/>
          <w:b/>
          <w:color w:val="000000"/>
          <w:lang w:val="pt-BR" w:eastAsia="es-MX"/>
        </w:rPr>
      </w:pPr>
      <w:r w:rsidRPr="00CA367E">
        <w:rPr>
          <w:rFonts w:ascii="Arial" w:eastAsia="Arial" w:hAnsi="Arial" w:cs="Arial"/>
          <w:b/>
          <w:color w:val="000000"/>
          <w:lang w:val="pt-BR" w:eastAsia="es-MX"/>
        </w:rPr>
        <w:t>PRESIDENTA:</w:t>
      </w:r>
    </w:p>
    <w:p w:rsidR="00CA367E" w:rsidRPr="00CA367E" w:rsidRDefault="00CA367E" w:rsidP="00CA367E">
      <w:pPr>
        <w:spacing w:after="0" w:line="240" w:lineRule="auto"/>
        <w:ind w:left="708" w:right="-6" w:hanging="11"/>
        <w:jc w:val="center"/>
        <w:rPr>
          <w:rFonts w:ascii="Arial" w:eastAsia="Arial" w:hAnsi="Arial" w:cs="Arial"/>
          <w:b/>
          <w:color w:val="000000"/>
          <w:lang w:val="pt-BR" w:eastAsia="es-MX"/>
        </w:rPr>
      </w:pPr>
    </w:p>
    <w:p w:rsidR="00CA367E" w:rsidRPr="00CA367E" w:rsidRDefault="00CA367E" w:rsidP="00CA367E">
      <w:pPr>
        <w:spacing w:after="0" w:line="240" w:lineRule="auto"/>
        <w:ind w:left="708" w:right="-6" w:hanging="11"/>
        <w:jc w:val="center"/>
        <w:rPr>
          <w:rFonts w:ascii="Arial" w:eastAsia="Arial" w:hAnsi="Arial" w:cs="Arial"/>
          <w:b/>
          <w:color w:val="000000"/>
          <w:lang w:val="pt-BR" w:eastAsia="es-MX"/>
        </w:rPr>
      </w:pPr>
    </w:p>
    <w:p w:rsidR="00CA367E" w:rsidRPr="00CA367E" w:rsidRDefault="00CA367E" w:rsidP="00CA367E">
      <w:pPr>
        <w:spacing w:after="0" w:line="240" w:lineRule="auto"/>
        <w:ind w:left="708" w:right="-6" w:hanging="11"/>
        <w:jc w:val="center"/>
        <w:rPr>
          <w:rFonts w:ascii="Arial" w:eastAsia="Arial" w:hAnsi="Arial" w:cs="Arial"/>
          <w:b/>
          <w:color w:val="000000"/>
          <w:lang w:val="pt-BR" w:eastAsia="es-MX"/>
        </w:rPr>
      </w:pPr>
      <w:r w:rsidRPr="00CA367E">
        <w:rPr>
          <w:rFonts w:ascii="Arial" w:eastAsia="Arial" w:hAnsi="Arial" w:cs="Arial"/>
          <w:b/>
          <w:color w:val="000000"/>
          <w:lang w:val="pt-BR" w:eastAsia="es-MX"/>
        </w:rPr>
        <w:t>DIP. LIZZETE JANICE E</w:t>
      </w:r>
      <w:r w:rsidR="007331D7">
        <w:rPr>
          <w:rFonts w:ascii="Arial" w:eastAsia="Arial" w:hAnsi="Arial" w:cs="Arial"/>
          <w:b/>
          <w:color w:val="000000"/>
          <w:lang w:val="pt-BR" w:eastAsia="es-MX"/>
        </w:rPr>
        <w:t>S</w:t>
      </w:r>
      <w:bookmarkStart w:id="0" w:name="_GoBack"/>
      <w:bookmarkEnd w:id="0"/>
      <w:r w:rsidRPr="00CA367E">
        <w:rPr>
          <w:rFonts w:ascii="Arial" w:eastAsia="Arial" w:hAnsi="Arial" w:cs="Arial"/>
          <w:b/>
          <w:color w:val="000000"/>
          <w:lang w:val="pt-BR" w:eastAsia="es-MX"/>
        </w:rPr>
        <w:t>COBEDO SALAZAR.</w:t>
      </w:r>
    </w:p>
    <w:p w:rsidR="00CA367E" w:rsidRPr="00CA367E" w:rsidRDefault="00CA367E" w:rsidP="00CA367E">
      <w:pPr>
        <w:spacing w:after="0" w:line="240" w:lineRule="auto"/>
        <w:ind w:left="708" w:right="-6" w:hanging="11"/>
        <w:jc w:val="center"/>
        <w:rPr>
          <w:rFonts w:ascii="Arial" w:eastAsia="Arial" w:hAnsi="Arial" w:cs="Arial"/>
          <w:b/>
          <w:color w:val="000000"/>
          <w:lang w:val="pt-BR" w:eastAsia="es-MX"/>
        </w:rPr>
      </w:pPr>
    </w:p>
    <w:p w:rsidR="00CA367E" w:rsidRPr="00CA367E" w:rsidRDefault="00CA367E" w:rsidP="00CA367E">
      <w:pPr>
        <w:spacing w:after="0" w:line="240" w:lineRule="auto"/>
        <w:ind w:left="708" w:right="-6" w:hanging="11"/>
        <w:jc w:val="center"/>
        <w:rPr>
          <w:rFonts w:ascii="Arial" w:eastAsia="Arial" w:hAnsi="Arial" w:cs="Arial"/>
          <w:b/>
          <w:color w:val="000000"/>
          <w:lang w:val="pt-BR" w:eastAsia="es-MX"/>
        </w:rPr>
      </w:pPr>
    </w:p>
    <w:tbl>
      <w:tblPr>
        <w:tblW w:w="9863" w:type="dxa"/>
        <w:jc w:val="center"/>
        <w:tblLayout w:type="fixed"/>
        <w:tblCellMar>
          <w:left w:w="70" w:type="dxa"/>
          <w:right w:w="70" w:type="dxa"/>
        </w:tblCellMar>
        <w:tblLook w:val="0000" w:firstRow="0" w:lastRow="0" w:firstColumn="0" w:lastColumn="0" w:noHBand="0" w:noVBand="0"/>
      </w:tblPr>
      <w:tblGrid>
        <w:gridCol w:w="5032"/>
        <w:gridCol w:w="4831"/>
      </w:tblGrid>
      <w:tr w:rsidR="00CA367E" w:rsidRPr="00CA367E" w:rsidTr="00BF3523">
        <w:trPr>
          <w:jc w:val="center"/>
        </w:trPr>
        <w:tc>
          <w:tcPr>
            <w:tcW w:w="5032" w:type="dxa"/>
          </w:tcPr>
          <w:p w:rsidR="00CA367E" w:rsidRPr="00CA367E" w:rsidRDefault="00CA367E" w:rsidP="00CA367E">
            <w:pPr>
              <w:spacing w:after="0" w:line="240" w:lineRule="auto"/>
              <w:ind w:left="708" w:right="-6" w:hanging="11"/>
              <w:jc w:val="center"/>
              <w:rPr>
                <w:rFonts w:ascii="Arial" w:eastAsia="Arial" w:hAnsi="Arial" w:cs="Arial"/>
                <w:b/>
                <w:color w:val="000000"/>
                <w:lang w:eastAsia="es-MX"/>
              </w:rPr>
            </w:pPr>
            <w:r w:rsidRPr="00CA367E">
              <w:rPr>
                <w:rFonts w:ascii="Arial" w:eastAsia="Arial" w:hAnsi="Arial" w:cs="Arial"/>
                <w:b/>
                <w:color w:val="000000"/>
                <w:lang w:eastAsia="es-MX"/>
              </w:rPr>
              <w:t>SECRETARIA:</w:t>
            </w:r>
          </w:p>
          <w:p w:rsidR="00CA367E" w:rsidRPr="00CA367E" w:rsidRDefault="00CA367E" w:rsidP="00CA367E">
            <w:pPr>
              <w:spacing w:after="0" w:line="240" w:lineRule="auto"/>
              <w:ind w:left="708" w:right="-6" w:hanging="11"/>
              <w:jc w:val="both"/>
              <w:rPr>
                <w:rFonts w:ascii="Arial" w:eastAsia="Arial" w:hAnsi="Arial" w:cs="Arial"/>
                <w:b/>
                <w:color w:val="000000"/>
                <w:lang w:eastAsia="es-MX"/>
              </w:rPr>
            </w:pPr>
          </w:p>
          <w:p w:rsidR="00CA367E" w:rsidRPr="00CA367E" w:rsidRDefault="00CA367E" w:rsidP="00CA367E">
            <w:pPr>
              <w:spacing w:after="0" w:line="240" w:lineRule="auto"/>
              <w:ind w:left="708" w:right="-6" w:hanging="11"/>
              <w:jc w:val="both"/>
              <w:rPr>
                <w:rFonts w:ascii="Arial" w:eastAsia="Arial" w:hAnsi="Arial" w:cs="Arial"/>
                <w:b/>
                <w:color w:val="000000"/>
                <w:lang w:eastAsia="es-MX"/>
              </w:rPr>
            </w:pPr>
          </w:p>
          <w:p w:rsidR="00CA367E" w:rsidRPr="00CA367E" w:rsidRDefault="00CA367E" w:rsidP="00CA367E">
            <w:pPr>
              <w:spacing w:after="0" w:line="240" w:lineRule="auto"/>
              <w:ind w:left="708" w:right="-6" w:hanging="11"/>
              <w:jc w:val="both"/>
              <w:rPr>
                <w:rFonts w:ascii="Arial" w:eastAsia="Arial" w:hAnsi="Arial" w:cs="Arial"/>
                <w:b/>
                <w:color w:val="000000"/>
                <w:lang w:eastAsia="es-MX"/>
              </w:rPr>
            </w:pPr>
          </w:p>
          <w:p w:rsidR="00CA367E" w:rsidRPr="00CA367E" w:rsidRDefault="00CA367E" w:rsidP="00CA367E">
            <w:pPr>
              <w:spacing w:after="0" w:line="240" w:lineRule="auto"/>
              <w:ind w:left="708" w:right="-6" w:hanging="11"/>
              <w:jc w:val="center"/>
              <w:rPr>
                <w:rFonts w:ascii="Arial" w:eastAsia="Arial" w:hAnsi="Arial" w:cs="Arial"/>
                <w:b/>
                <w:color w:val="000000"/>
                <w:lang w:eastAsia="es-MX"/>
              </w:rPr>
            </w:pPr>
            <w:r w:rsidRPr="00CA367E">
              <w:rPr>
                <w:rFonts w:ascii="Arial" w:eastAsia="Arial" w:hAnsi="Arial" w:cs="Arial"/>
                <w:b/>
                <w:color w:val="000000"/>
                <w:lang w:eastAsia="es-MX"/>
              </w:rPr>
              <w:t xml:space="preserve">DIP. </w:t>
            </w:r>
            <w:r w:rsidRPr="00CA367E">
              <w:rPr>
                <w:rFonts w:ascii="Arial" w:eastAsia="Arial" w:hAnsi="Arial" w:cs="Arial"/>
                <w:b/>
                <w:bCs/>
                <w:color w:val="000000"/>
                <w:lang w:eastAsia="es-MX"/>
              </w:rPr>
              <w:t>FÁTIMA DEL ROSARIO PERERA SALAZAR</w:t>
            </w:r>
            <w:r w:rsidRPr="00CA367E">
              <w:rPr>
                <w:rFonts w:ascii="Arial" w:eastAsia="Arial" w:hAnsi="Arial" w:cs="Arial"/>
                <w:b/>
                <w:color w:val="000000"/>
                <w:lang w:eastAsia="es-MX"/>
              </w:rPr>
              <w:t>.</w:t>
            </w:r>
          </w:p>
        </w:tc>
        <w:tc>
          <w:tcPr>
            <w:tcW w:w="4831" w:type="dxa"/>
          </w:tcPr>
          <w:p w:rsidR="00CA367E" w:rsidRPr="00CA367E" w:rsidRDefault="00CA367E" w:rsidP="00CA367E">
            <w:pPr>
              <w:spacing w:after="0" w:line="240" w:lineRule="auto"/>
              <w:ind w:left="708" w:right="-6" w:hanging="11"/>
              <w:jc w:val="center"/>
              <w:rPr>
                <w:rFonts w:ascii="Arial" w:eastAsia="Arial" w:hAnsi="Arial" w:cs="Arial"/>
                <w:b/>
                <w:color w:val="000000"/>
                <w:lang w:eastAsia="es-MX"/>
              </w:rPr>
            </w:pPr>
            <w:r w:rsidRPr="00CA367E">
              <w:rPr>
                <w:rFonts w:ascii="Arial" w:eastAsia="Arial" w:hAnsi="Arial" w:cs="Arial"/>
                <w:b/>
                <w:color w:val="000000"/>
                <w:lang w:eastAsia="es-MX"/>
              </w:rPr>
              <w:t>SECRETARIA:</w:t>
            </w:r>
          </w:p>
          <w:p w:rsidR="00CA367E" w:rsidRPr="00CA367E" w:rsidRDefault="00CA367E" w:rsidP="00CA367E">
            <w:pPr>
              <w:spacing w:after="0" w:line="240" w:lineRule="auto"/>
              <w:ind w:left="708" w:right="-6" w:hanging="11"/>
              <w:jc w:val="both"/>
              <w:rPr>
                <w:rFonts w:ascii="Arial" w:eastAsia="Arial" w:hAnsi="Arial" w:cs="Arial"/>
                <w:b/>
                <w:color w:val="000000"/>
                <w:lang w:eastAsia="es-MX"/>
              </w:rPr>
            </w:pPr>
          </w:p>
          <w:p w:rsidR="00CA367E" w:rsidRPr="00CA367E" w:rsidRDefault="00CA367E" w:rsidP="00CA367E">
            <w:pPr>
              <w:spacing w:after="0" w:line="240" w:lineRule="auto"/>
              <w:ind w:left="708" w:right="-6" w:hanging="11"/>
              <w:jc w:val="both"/>
              <w:rPr>
                <w:rFonts w:ascii="Arial" w:eastAsia="Arial" w:hAnsi="Arial" w:cs="Arial"/>
                <w:b/>
                <w:color w:val="000000"/>
                <w:lang w:eastAsia="es-MX"/>
              </w:rPr>
            </w:pPr>
          </w:p>
          <w:p w:rsidR="00CA367E" w:rsidRPr="00CA367E" w:rsidRDefault="00CA367E" w:rsidP="00CA367E">
            <w:pPr>
              <w:spacing w:after="0" w:line="240" w:lineRule="auto"/>
              <w:ind w:left="708" w:right="-6" w:hanging="11"/>
              <w:jc w:val="both"/>
              <w:rPr>
                <w:rFonts w:ascii="Arial" w:eastAsia="Arial" w:hAnsi="Arial" w:cs="Arial"/>
                <w:b/>
                <w:color w:val="000000"/>
                <w:lang w:eastAsia="es-MX"/>
              </w:rPr>
            </w:pPr>
          </w:p>
          <w:p w:rsidR="00CA367E" w:rsidRPr="00CA367E" w:rsidRDefault="00CA367E" w:rsidP="00CA367E">
            <w:pPr>
              <w:spacing w:after="0" w:line="240" w:lineRule="auto"/>
              <w:ind w:left="708" w:right="-6" w:hanging="11"/>
              <w:jc w:val="center"/>
              <w:rPr>
                <w:rFonts w:ascii="Arial" w:eastAsia="Arial" w:hAnsi="Arial" w:cs="Arial"/>
                <w:b/>
                <w:color w:val="000000"/>
                <w:lang w:eastAsia="es-MX"/>
              </w:rPr>
            </w:pPr>
            <w:r w:rsidRPr="00CA367E">
              <w:rPr>
                <w:rFonts w:ascii="Arial" w:eastAsia="Arial" w:hAnsi="Arial" w:cs="Arial"/>
                <w:b/>
                <w:color w:val="000000"/>
                <w:lang w:eastAsia="es-MX"/>
              </w:rPr>
              <w:t>DIP. PAULINA AURORA VIANA GÓMEZ.</w:t>
            </w:r>
          </w:p>
          <w:p w:rsidR="00CA367E" w:rsidRPr="00CA367E" w:rsidRDefault="00CA367E" w:rsidP="00CA367E">
            <w:pPr>
              <w:spacing w:after="0" w:line="240" w:lineRule="auto"/>
              <w:ind w:left="708" w:right="-6" w:hanging="11"/>
              <w:jc w:val="center"/>
              <w:rPr>
                <w:rFonts w:ascii="Arial" w:eastAsia="Arial" w:hAnsi="Arial" w:cs="Arial"/>
                <w:b/>
                <w:color w:val="000000"/>
                <w:lang w:eastAsia="es-MX"/>
              </w:rPr>
            </w:pPr>
          </w:p>
        </w:tc>
      </w:tr>
    </w:tbl>
    <w:p w:rsidR="00E668AF" w:rsidRDefault="00E668AF" w:rsidP="00B80279">
      <w:pPr>
        <w:widowControl w:val="0"/>
        <w:spacing w:after="0" w:line="240" w:lineRule="auto"/>
      </w:pPr>
    </w:p>
    <w:sectPr w:rsidR="00E668AF" w:rsidSect="00E668AF">
      <w:headerReference w:type="default" r:id="rId6"/>
      <w:footerReference w:type="default" r:id="rId7"/>
      <w:pgSz w:w="12240" w:h="15840" w:code="1"/>
      <w:pgMar w:top="2977" w:right="1123" w:bottom="1134" w:left="212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3E2" w:rsidRDefault="00F743E2" w:rsidP="00E668AF">
      <w:pPr>
        <w:spacing w:after="0" w:line="240" w:lineRule="auto"/>
      </w:pPr>
      <w:r>
        <w:separator/>
      </w:r>
    </w:p>
  </w:endnote>
  <w:endnote w:type="continuationSeparator" w:id="0">
    <w:p w:rsidR="00F743E2" w:rsidRDefault="00F743E2" w:rsidP="00E66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6867599"/>
      <w:docPartObj>
        <w:docPartGallery w:val="Page Numbers (Bottom of Page)"/>
        <w:docPartUnique/>
      </w:docPartObj>
    </w:sdtPr>
    <w:sdtEndPr>
      <w:rPr>
        <w:rFonts w:ascii="Arial" w:hAnsi="Arial" w:cs="Arial"/>
        <w:sz w:val="20"/>
        <w:szCs w:val="20"/>
      </w:rPr>
    </w:sdtEndPr>
    <w:sdtContent>
      <w:p w:rsidR="00E668AF" w:rsidRPr="00E668AF" w:rsidRDefault="00E668AF" w:rsidP="00E668AF">
        <w:pPr>
          <w:pStyle w:val="Piedepgina"/>
          <w:jc w:val="center"/>
          <w:rPr>
            <w:rFonts w:ascii="Arial" w:hAnsi="Arial" w:cs="Arial"/>
            <w:sz w:val="20"/>
            <w:szCs w:val="20"/>
          </w:rPr>
        </w:pPr>
        <w:r w:rsidRPr="00E668AF">
          <w:rPr>
            <w:rFonts w:ascii="Arial" w:hAnsi="Arial" w:cs="Arial"/>
            <w:sz w:val="20"/>
            <w:szCs w:val="20"/>
          </w:rPr>
          <w:fldChar w:fldCharType="begin"/>
        </w:r>
        <w:r w:rsidRPr="00E668AF">
          <w:rPr>
            <w:rFonts w:ascii="Arial" w:hAnsi="Arial" w:cs="Arial"/>
            <w:sz w:val="20"/>
            <w:szCs w:val="20"/>
          </w:rPr>
          <w:instrText>PAGE   \* MERGEFORMAT</w:instrText>
        </w:r>
        <w:r w:rsidRPr="00E668AF">
          <w:rPr>
            <w:rFonts w:ascii="Arial" w:hAnsi="Arial" w:cs="Arial"/>
            <w:sz w:val="20"/>
            <w:szCs w:val="20"/>
          </w:rPr>
          <w:fldChar w:fldCharType="separate"/>
        </w:r>
        <w:r w:rsidR="007331D7" w:rsidRPr="007331D7">
          <w:rPr>
            <w:rFonts w:ascii="Arial" w:hAnsi="Arial" w:cs="Arial"/>
            <w:noProof/>
            <w:sz w:val="20"/>
            <w:szCs w:val="20"/>
            <w:lang w:val="es-ES"/>
          </w:rPr>
          <w:t>3</w:t>
        </w:r>
        <w:r w:rsidRPr="00E668AF">
          <w:rPr>
            <w:rFonts w:ascii="Arial" w:hAnsi="Arial" w:cs="Arial"/>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3E2" w:rsidRDefault="00F743E2" w:rsidP="00E668AF">
      <w:pPr>
        <w:spacing w:after="0" w:line="240" w:lineRule="auto"/>
      </w:pPr>
      <w:r>
        <w:separator/>
      </w:r>
    </w:p>
  </w:footnote>
  <w:footnote w:type="continuationSeparator" w:id="0">
    <w:p w:rsidR="00F743E2" w:rsidRDefault="00F743E2" w:rsidP="00E668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8AF" w:rsidRDefault="00E668AF">
    <w:pPr>
      <w:pStyle w:val="Encabezado"/>
    </w:pPr>
    <w:r w:rsidRPr="00E668AF">
      <w:rPr>
        <w:noProof/>
        <w:lang w:eastAsia="es-MX"/>
      </w:rPr>
      <mc:AlternateContent>
        <mc:Choice Requires="wps">
          <w:drawing>
            <wp:anchor distT="0" distB="0" distL="114300" distR="114300" simplePos="0" relativeHeight="251659264" behindDoc="0" locked="0" layoutInCell="1" allowOverlap="1" wp14:anchorId="0183FBC1" wp14:editId="3F5DB962">
              <wp:simplePos x="0" y="0"/>
              <wp:positionH relativeFrom="column">
                <wp:posOffset>974090</wp:posOffset>
              </wp:positionH>
              <wp:positionV relativeFrom="paragraph">
                <wp:posOffset>45085</wp:posOffset>
              </wp:positionV>
              <wp:extent cx="4631055" cy="76200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31055" cy="76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68AF" w:rsidRPr="006A136F" w:rsidRDefault="00E668AF" w:rsidP="00E668AF">
                          <w:pPr>
                            <w:pStyle w:val="Piedepgina"/>
                            <w:jc w:val="center"/>
                            <w:rPr>
                              <w:rFonts w:ascii="Times New Roman" w:hAnsi="Times New Roman" w:cs="Times New Roman"/>
                              <w:sz w:val="24"/>
                              <w:szCs w:val="24"/>
                            </w:rPr>
                          </w:pPr>
                          <w:r w:rsidRPr="006A136F">
                            <w:rPr>
                              <w:rFonts w:ascii="Times New Roman" w:hAnsi="Times New Roman" w:cs="Times New Roman"/>
                              <w:sz w:val="24"/>
                              <w:szCs w:val="24"/>
                            </w:rPr>
                            <w:t>GOBIERNO DEL ESTADO DE YUCATÁN</w:t>
                          </w:r>
                        </w:p>
                        <w:p w:rsidR="00E668AF" w:rsidRPr="00E668AF" w:rsidRDefault="00E668AF" w:rsidP="00E668AF">
                          <w:pPr>
                            <w:spacing w:line="240" w:lineRule="auto"/>
                            <w:jc w:val="center"/>
                            <w:rPr>
                              <w:rFonts w:ascii="Times New Roman" w:hAnsi="Times New Roman"/>
                              <w:b/>
                              <w:bCs/>
                              <w:sz w:val="24"/>
                              <w:szCs w:val="24"/>
                            </w:rPr>
                          </w:pPr>
                          <w:r w:rsidRPr="00E668AF">
                            <w:rPr>
                              <w:rFonts w:ascii="Times New Roman" w:hAnsi="Times New Roman"/>
                              <w:b/>
                              <w:bCs/>
                              <w:sz w:val="24"/>
                              <w:szCs w:val="24"/>
                            </w:rPr>
                            <w:t>PODER LEGISLATIVO</w:t>
                          </w:r>
                        </w:p>
                        <w:p w:rsidR="00E668AF" w:rsidRPr="00FA1CD2" w:rsidRDefault="00E668AF" w:rsidP="00E668AF">
                          <w:pPr>
                            <w:spacing w:after="0"/>
                            <w:jc w:val="center"/>
                            <w:rPr>
                              <w:rFonts w:ascii="Brush Script MT" w:hAnsi="Brush Script MT"/>
                              <w:szCs w:val="28"/>
                              <w:lang w:val="es-ES_tradnl" w:eastAsia="es-ES"/>
                            </w:rPr>
                          </w:pPr>
                          <w:r w:rsidRPr="00FA1CD2">
                            <w:rPr>
                              <w:rFonts w:ascii="Brush Script MT" w:hAnsi="Brush Script MT"/>
                              <w:szCs w:val="28"/>
                              <w:lang w:val="es-ES_tradnl" w:eastAsia="es-ES"/>
                            </w:rPr>
                            <w:t>“LXII Legislatura de la paridad de Género”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83FBC1" id="_x0000_t202" coordsize="21600,21600" o:spt="202" path="m,l,21600r21600,l21600,xe">
              <v:stroke joinstyle="miter"/>
              <v:path gradientshapeok="t" o:connecttype="rect"/>
            </v:shapetype>
            <v:shape id="Cuadro de texto 19" o:spid="_x0000_s1026" type="#_x0000_t202" style="position:absolute;margin-left:76.7pt;margin-top:3.55pt;width:364.65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" stroked="f">
              <v:path arrowok="t"/>
              <v:textbox>
                <w:txbxContent>
                  <w:p w:rsidR="00E668AF" w:rsidRPr="006A136F" w:rsidRDefault="00E668AF" w:rsidP="00E668AF">
                    <w:pPr>
                      <w:pStyle w:val="Piedepgina"/>
                      <w:jc w:val="center"/>
                      <w:rPr>
                        <w:rFonts w:ascii="Times New Roman" w:hAnsi="Times New Roman" w:cs="Times New Roman"/>
                        <w:sz w:val="24"/>
                        <w:szCs w:val="24"/>
                      </w:rPr>
                    </w:pPr>
                    <w:r w:rsidRPr="006A136F">
                      <w:rPr>
                        <w:rFonts w:ascii="Times New Roman" w:hAnsi="Times New Roman" w:cs="Times New Roman"/>
                        <w:sz w:val="24"/>
                        <w:szCs w:val="24"/>
                      </w:rPr>
                      <w:t>GOBIERNO DEL ESTADO DE YUCATÁN</w:t>
                    </w:r>
                  </w:p>
                  <w:p w:rsidR="00E668AF" w:rsidRPr="00E668AF" w:rsidRDefault="00E668AF" w:rsidP="00E668AF">
                    <w:pPr>
                      <w:spacing w:line="240" w:lineRule="auto"/>
                      <w:jc w:val="center"/>
                      <w:rPr>
                        <w:rFonts w:ascii="Times New Roman" w:hAnsi="Times New Roman"/>
                        <w:b/>
                        <w:bCs/>
                        <w:sz w:val="24"/>
                        <w:szCs w:val="24"/>
                      </w:rPr>
                    </w:pPr>
                    <w:r w:rsidRPr="00E668AF">
                      <w:rPr>
                        <w:rFonts w:ascii="Times New Roman" w:hAnsi="Times New Roman"/>
                        <w:b/>
                        <w:bCs/>
                        <w:sz w:val="24"/>
                        <w:szCs w:val="24"/>
                      </w:rPr>
                      <w:t>PODER LEGISLATIVO</w:t>
                    </w:r>
                  </w:p>
                  <w:p w:rsidR="00E668AF" w:rsidRPr="00FA1CD2" w:rsidRDefault="00E668AF" w:rsidP="00E668AF">
                    <w:pPr>
                      <w:spacing w:after="0"/>
                      <w:jc w:val="center"/>
                      <w:rPr>
                        <w:rFonts w:ascii="Brush Script MT" w:hAnsi="Brush Script MT"/>
                        <w:szCs w:val="28"/>
                        <w:lang w:val="es-ES_tradnl" w:eastAsia="es-ES"/>
                      </w:rPr>
                    </w:pPr>
                    <w:r w:rsidRPr="00FA1CD2">
                      <w:rPr>
                        <w:rFonts w:ascii="Brush Script MT" w:hAnsi="Brush Script MT"/>
                        <w:szCs w:val="28"/>
                        <w:lang w:val="es-ES_tradnl" w:eastAsia="es-ES"/>
                      </w:rPr>
                      <w:t>“LXII Legislatura de la paridad de Género”</w:t>
                    </w:r>
                  </w:p>
                </w:txbxContent>
              </v:textbox>
            </v:shape>
          </w:pict>
        </mc:Fallback>
      </mc:AlternateContent>
    </w:r>
    <w:r w:rsidRPr="00E668AF">
      <w:rPr>
        <w:noProof/>
        <w:lang w:eastAsia="es-MX"/>
      </w:rPr>
      <mc:AlternateContent>
        <mc:Choice Requires="wps">
          <w:drawing>
            <wp:anchor distT="45720" distB="45720" distL="114300" distR="114300" simplePos="0" relativeHeight="251661312" behindDoc="0" locked="0" layoutInCell="1" allowOverlap="1" wp14:anchorId="3B89C23B" wp14:editId="2EED12FF">
              <wp:simplePos x="0" y="0"/>
              <wp:positionH relativeFrom="column">
                <wp:posOffset>-599440</wp:posOffset>
              </wp:positionH>
              <wp:positionV relativeFrom="paragraph">
                <wp:posOffset>805180</wp:posOffset>
              </wp:positionV>
              <wp:extent cx="1571625" cy="485775"/>
              <wp:effectExtent l="0" t="0" r="0" b="0"/>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71625"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68AF" w:rsidRPr="00381914" w:rsidRDefault="00E668AF" w:rsidP="00E668AF">
                          <w:pPr>
                            <w:spacing w:after="0" w:line="240" w:lineRule="auto"/>
                            <w:ind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rsidR="00E668AF" w:rsidRPr="00381914" w:rsidRDefault="00E668AF" w:rsidP="00E668AF">
                          <w:pPr>
                            <w:spacing w:after="0" w:line="240" w:lineRule="auto"/>
                            <w:ind w:right="-6" w:hanging="11"/>
                            <w:jc w:val="center"/>
                            <w:rPr>
                              <w:rFonts w:ascii="Tahoma" w:hAnsi="Tahoma" w:cs="Tahoma"/>
                              <w:sz w:val="15"/>
                              <w:szCs w:val="15"/>
                            </w:rPr>
                          </w:pPr>
                          <w:r w:rsidRPr="00381914">
                            <w:rPr>
                              <w:rFonts w:ascii="Tahoma" w:hAnsi="Tahoma" w:cs="Tahoma"/>
                              <w:sz w:val="15"/>
                              <w:szCs w:val="15"/>
                            </w:rPr>
                            <w:t xml:space="preserve">LIBRE Y SOBERANO </w:t>
                          </w:r>
                        </w:p>
                        <w:p w:rsidR="00E668AF" w:rsidRPr="00381914" w:rsidRDefault="00E668AF" w:rsidP="00E668AF">
                          <w:pPr>
                            <w:spacing w:after="0" w:line="240" w:lineRule="auto"/>
                            <w:ind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89C23B" id="Cuadro de texto 20" o:spid="_x0000_s1027" type="#_x0000_t202" style="position:absolute;margin-left:-47.2pt;margin-top:63.4pt;width:123.75pt;height:38.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" stroked="f">
              <v:path arrowok="t"/>
              <v:textbox>
                <w:txbxContent>
                  <w:p w:rsidR="00E668AF" w:rsidRPr="00381914" w:rsidRDefault="00E668AF" w:rsidP="00E668AF">
                    <w:pPr>
                      <w:spacing w:after="0" w:line="240" w:lineRule="auto"/>
                      <w:ind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rsidR="00E668AF" w:rsidRPr="00381914" w:rsidRDefault="00E668AF" w:rsidP="00E668AF">
                    <w:pPr>
                      <w:spacing w:after="0" w:line="240" w:lineRule="auto"/>
                      <w:ind w:right="-6" w:hanging="11"/>
                      <w:jc w:val="center"/>
                      <w:rPr>
                        <w:rFonts w:ascii="Tahoma" w:hAnsi="Tahoma" w:cs="Tahoma"/>
                        <w:sz w:val="15"/>
                        <w:szCs w:val="15"/>
                      </w:rPr>
                    </w:pPr>
                    <w:r w:rsidRPr="00381914">
                      <w:rPr>
                        <w:rFonts w:ascii="Tahoma" w:hAnsi="Tahoma" w:cs="Tahoma"/>
                        <w:sz w:val="15"/>
                        <w:szCs w:val="15"/>
                      </w:rPr>
                      <w:t xml:space="preserve">LIBRE Y SOBERANO </w:t>
                    </w:r>
                  </w:p>
                  <w:p w:rsidR="00E668AF" w:rsidRPr="00381914" w:rsidRDefault="00E668AF" w:rsidP="00E668AF">
                    <w:pPr>
                      <w:spacing w:after="0" w:line="240" w:lineRule="auto"/>
                      <w:ind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r w:rsidRPr="00E668AF">
      <w:rPr>
        <w:noProof/>
        <w:lang w:eastAsia="es-MX"/>
      </w:rPr>
      <w:drawing>
        <wp:anchor distT="0" distB="0" distL="114300" distR="114300" simplePos="0" relativeHeight="251660288" behindDoc="0" locked="0" layoutInCell="1" allowOverlap="1" wp14:anchorId="57FE9801" wp14:editId="5D1A3042">
          <wp:simplePos x="0" y="0"/>
          <wp:positionH relativeFrom="column">
            <wp:posOffset>-294640</wp:posOffset>
          </wp:positionH>
          <wp:positionV relativeFrom="paragraph">
            <wp:posOffset>-219710</wp:posOffset>
          </wp:positionV>
          <wp:extent cx="1029335" cy="1019175"/>
          <wp:effectExtent l="0" t="0" r="0" b="0"/>
          <wp:wrapNone/>
          <wp:docPr id="10" name="Imagen 21" descr="sello_escudo_nacional_mexicano_by_gigaborgesnx-d6km3k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1" descr="sello_escudo_nacional_mexicano_by_gigaborgesnx-d6km3km"/>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8AF"/>
    <w:rsid w:val="00040EEE"/>
    <w:rsid w:val="00045B9B"/>
    <w:rsid w:val="001C461A"/>
    <w:rsid w:val="00593803"/>
    <w:rsid w:val="007331D7"/>
    <w:rsid w:val="00B80279"/>
    <w:rsid w:val="00CA367E"/>
    <w:rsid w:val="00D526B6"/>
    <w:rsid w:val="00E668AF"/>
    <w:rsid w:val="00F743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B3B07233-B7F0-4B74-B9E2-95809C7BA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68AF"/>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668A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668AF"/>
    <w:rPr>
      <w:sz w:val="20"/>
      <w:szCs w:val="20"/>
    </w:rPr>
  </w:style>
  <w:style w:type="character" w:styleId="Refdenotaalpie">
    <w:name w:val="footnote reference"/>
    <w:basedOn w:val="Fuentedeprrafopredeter"/>
    <w:uiPriority w:val="99"/>
    <w:semiHidden/>
    <w:unhideWhenUsed/>
    <w:rsid w:val="00E668AF"/>
    <w:rPr>
      <w:vertAlign w:val="superscript"/>
    </w:rPr>
  </w:style>
  <w:style w:type="character" w:styleId="Hipervnculo">
    <w:name w:val="Hyperlink"/>
    <w:basedOn w:val="Fuentedeprrafopredeter"/>
    <w:uiPriority w:val="99"/>
    <w:unhideWhenUsed/>
    <w:rsid w:val="00E668AF"/>
    <w:rPr>
      <w:color w:val="0563C1" w:themeColor="hyperlink"/>
      <w:u w:val="single"/>
    </w:rPr>
  </w:style>
  <w:style w:type="paragraph" w:customStyle="1" w:styleId="elsevierstylepara">
    <w:name w:val="elsevierstylepara"/>
    <w:basedOn w:val="Normal"/>
    <w:rsid w:val="00E668A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uiPriority w:val="1"/>
    <w:qFormat/>
    <w:rsid w:val="00E668AF"/>
    <w:pPr>
      <w:spacing w:after="0" w:line="240" w:lineRule="auto"/>
    </w:pPr>
    <w:rPr>
      <w:rFonts w:ascii="Calibri" w:eastAsia="Calibri" w:hAnsi="Calibri" w:cs="Times New Roman"/>
    </w:rPr>
  </w:style>
  <w:style w:type="paragraph" w:styleId="Encabezado">
    <w:name w:val="header"/>
    <w:basedOn w:val="Normal"/>
    <w:link w:val="EncabezadoCar"/>
    <w:uiPriority w:val="99"/>
    <w:unhideWhenUsed/>
    <w:rsid w:val="00E668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668AF"/>
  </w:style>
  <w:style w:type="paragraph" w:styleId="Piedepgina">
    <w:name w:val="footer"/>
    <w:basedOn w:val="Normal"/>
    <w:link w:val="PiedepginaCar"/>
    <w:uiPriority w:val="99"/>
    <w:unhideWhenUsed/>
    <w:rsid w:val="00E668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668AF"/>
  </w:style>
  <w:style w:type="paragraph" w:customStyle="1" w:styleId="Cuerpo">
    <w:name w:val="Cuerpo"/>
    <w:rsid w:val="00045B9B"/>
    <w:pPr>
      <w:pBdr>
        <w:top w:val="nil"/>
        <w:left w:val="nil"/>
        <w:bottom w:val="nil"/>
        <w:right w:val="nil"/>
        <w:between w:val="nil"/>
        <w:bar w:val="nil"/>
      </w:pBdr>
    </w:pPr>
    <w:rPr>
      <w:rFonts w:ascii="Calibri" w:eastAsia="Calibri" w:hAnsi="Calibri" w:cs="Calibri"/>
      <w:color w:val="000000"/>
      <w:u w:color="000000"/>
      <w:bdr w:val="nil"/>
      <w:lang w:eastAsia="es-MX"/>
    </w:rPr>
  </w:style>
  <w:style w:type="character" w:customStyle="1" w:styleId="Ninguno">
    <w:name w:val="Ninguno"/>
    <w:rsid w:val="00045B9B"/>
    <w:rPr>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350</Words>
  <Characters>1928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Delmy Cruz</dc:creator>
  <cp:keywords/>
  <dc:description/>
  <cp:lastModifiedBy>Elideth Irigoyen</cp:lastModifiedBy>
  <cp:revision>7</cp:revision>
  <dcterms:created xsi:type="dcterms:W3CDTF">2020-11-26T00:38:00Z</dcterms:created>
  <dcterms:modified xsi:type="dcterms:W3CDTF">2020-11-26T18:07:00Z</dcterms:modified>
</cp:coreProperties>
</file>